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94E" w:rsidRPr="0052694E" w:rsidRDefault="0052694E" w:rsidP="0052694E">
      <w:pPr>
        <w:keepLines/>
        <w:spacing w:after="20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[imię i nazwisko]</w:t>
      </w:r>
    </w:p>
    <w:p w:rsidR="0052694E" w:rsidRPr="0052694E" w:rsidRDefault="0052694E" w:rsidP="0052694E">
      <w:pPr>
        <w:keepLines/>
        <w:spacing w:after="20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[adres zamieszkania]</w:t>
      </w:r>
    </w:p>
    <w:p w:rsidR="0052694E" w:rsidRPr="0052694E" w:rsidRDefault="0052694E" w:rsidP="0052694E">
      <w:pPr>
        <w:keepLines/>
        <w:spacing w:after="20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PESEL: [numer PESEL]</w:t>
      </w:r>
    </w:p>
    <w:p w:rsidR="0052694E" w:rsidRPr="0052694E" w:rsidRDefault="0052694E" w:rsidP="0052694E">
      <w:pPr>
        <w:keepLines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Nr świadczenia: [numer świadczenia]</w:t>
      </w:r>
    </w:p>
    <w:p w:rsidR="0052694E" w:rsidRPr="0052694E" w:rsidRDefault="0052694E" w:rsidP="0052694E">
      <w:pPr>
        <w:keepLines/>
        <w:spacing w:after="240"/>
        <w:jc w:val="right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[miejscowość], dnia [data]</w:t>
      </w:r>
    </w:p>
    <w:p w:rsidR="0052694E" w:rsidRPr="0052694E" w:rsidRDefault="0052694E" w:rsidP="0052694E">
      <w:pPr>
        <w:keepLines/>
        <w:spacing w:after="20"/>
        <w:jc w:val="right"/>
        <w:rPr>
          <w:rFonts w:cs="Times New Roman"/>
          <w:b/>
          <w:sz w:val="32"/>
          <w:szCs w:val="32"/>
          <w:lang w:val="pl-PL"/>
        </w:rPr>
      </w:pPr>
    </w:p>
    <w:p w:rsidR="0052694E" w:rsidRPr="0052694E" w:rsidRDefault="0052694E" w:rsidP="0052694E">
      <w:pPr>
        <w:keepLines/>
        <w:spacing w:after="20"/>
        <w:jc w:val="right"/>
        <w:rPr>
          <w:rFonts w:cs="Times New Roman"/>
          <w:sz w:val="32"/>
          <w:szCs w:val="32"/>
          <w:lang w:val="pl-PL"/>
        </w:rPr>
      </w:pPr>
      <w:r w:rsidRPr="0052694E">
        <w:rPr>
          <w:rFonts w:cs="Times New Roman"/>
          <w:b/>
          <w:sz w:val="32"/>
          <w:szCs w:val="32"/>
          <w:lang w:val="pl-PL"/>
        </w:rPr>
        <w:t>Zakład Ubezpieczeń Społecznych</w:t>
      </w:r>
    </w:p>
    <w:p w:rsidR="0052694E" w:rsidRPr="0052694E" w:rsidRDefault="0052694E" w:rsidP="0052694E">
      <w:pPr>
        <w:keepLines/>
        <w:spacing w:after="20"/>
        <w:jc w:val="right"/>
        <w:rPr>
          <w:rFonts w:cs="Times New Roman"/>
          <w:sz w:val="32"/>
          <w:szCs w:val="32"/>
          <w:lang w:val="pl-PL"/>
        </w:rPr>
      </w:pPr>
      <w:r w:rsidRPr="0052694E">
        <w:rPr>
          <w:rFonts w:cs="Times New Roman"/>
          <w:b/>
          <w:sz w:val="32"/>
          <w:szCs w:val="32"/>
          <w:lang w:val="pl-PL"/>
        </w:rPr>
        <w:t>Oddział w ……………..</w:t>
      </w:r>
    </w:p>
    <w:p w:rsidR="0052694E" w:rsidRPr="0052694E" w:rsidRDefault="0052694E" w:rsidP="0052694E">
      <w:pPr>
        <w:keepLines/>
        <w:spacing w:after="320"/>
        <w:jc w:val="right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[adres oddziału]</w:t>
      </w:r>
    </w:p>
    <w:p w:rsidR="0052694E" w:rsidRPr="0052694E" w:rsidRDefault="0052694E" w:rsidP="0052694E">
      <w:pPr>
        <w:keepNext/>
        <w:keepLines/>
        <w:pBdr>
          <w:bottom w:val="single" w:sz="8" w:space="4" w:color="4F81BD" w:themeColor="accent1"/>
        </w:pBdr>
        <w:spacing w:after="240" w:line="240" w:lineRule="auto"/>
        <w:contextualSpacing/>
        <w:jc w:val="center"/>
        <w:rPr>
          <w:rFonts w:eastAsiaTheme="majorEastAsia" w:cs="Times New Roman"/>
          <w:b/>
          <w:color w:val="000000"/>
          <w:spacing w:val="5"/>
          <w:kern w:val="28"/>
          <w:sz w:val="32"/>
          <w:szCs w:val="32"/>
          <w:lang w:val="pl-PL"/>
        </w:rPr>
      </w:pPr>
      <w:r w:rsidRPr="0052694E">
        <w:rPr>
          <w:rFonts w:eastAsiaTheme="majorEastAsia" w:cs="Times New Roman"/>
          <w:b/>
          <w:color w:val="000000"/>
          <w:spacing w:val="5"/>
          <w:kern w:val="28"/>
          <w:sz w:val="32"/>
          <w:szCs w:val="32"/>
          <w:lang w:val="pl-PL"/>
        </w:rPr>
        <w:t>WNIOSEK O WZNOWIENIE POSTĘPOWANIA</w:t>
      </w:r>
      <w:r w:rsidRPr="0052694E">
        <w:rPr>
          <w:rFonts w:eastAsiaTheme="majorEastAsia" w:cs="Times New Roman"/>
          <w:b/>
          <w:color w:val="000000"/>
          <w:spacing w:val="5"/>
          <w:kern w:val="28"/>
          <w:sz w:val="32"/>
          <w:szCs w:val="32"/>
          <w:lang w:val="pl-PL"/>
        </w:rPr>
        <w:br/>
        <w:t>I PONOWNE USTALENIE WYSOKOŚCI EMERYTURY</w:t>
      </w:r>
    </w:p>
    <w:p w:rsidR="0052694E" w:rsidRPr="0052694E" w:rsidRDefault="0052694E" w:rsidP="0052694E">
      <w:pPr>
        <w:keepLines/>
        <w:spacing w:after="280"/>
        <w:jc w:val="center"/>
        <w:rPr>
          <w:rFonts w:cs="Times New Roman"/>
          <w:szCs w:val="24"/>
          <w:lang w:val="pl-PL"/>
        </w:rPr>
      </w:pPr>
      <w:r w:rsidRPr="0052694E">
        <w:rPr>
          <w:rFonts w:cs="Times New Roman"/>
          <w:b/>
          <w:szCs w:val="24"/>
          <w:lang w:val="pl-PL"/>
        </w:rPr>
        <w:t>Dotyczy</w:t>
      </w:r>
      <w:r w:rsidRPr="0052694E">
        <w:rPr>
          <w:rFonts w:cs="Times New Roman"/>
          <w:szCs w:val="24"/>
          <w:lang w:val="pl-PL"/>
        </w:rPr>
        <w:t xml:space="preserve"> decyzji ZUS z dnia [data decyzji], znak: [numer/znak decyzji]</w:t>
      </w:r>
    </w:p>
    <w:p w:rsidR="0052694E" w:rsidRPr="0052694E" w:rsidRDefault="0052694E" w:rsidP="0052694E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Działając na podstawie art. 145a, art. 147–149 Kodeksu postępowania administracyjnego, art. 83a ustawy o systemie ubezpieczeń społecznych oraz art. 114 ustawy o emeryturach i rentach z Funduszu Ubezpieczeń Społecznych, w związku z art. 2, art. 8 ust. 2, art. 67 ust. 1 i art. 190 Konstytucji Rzeczypospolitej Polskiej, wnoszę o:</w:t>
      </w:r>
    </w:p>
    <w:p w:rsidR="0052694E" w:rsidRPr="0052694E" w:rsidRDefault="0052694E" w:rsidP="0052694E">
      <w:pPr>
        <w:keepLines/>
        <w:numPr>
          <w:ilvl w:val="0"/>
          <w:numId w:val="5"/>
        </w:numPr>
        <w:spacing w:after="100"/>
        <w:ind w:left="397" w:hanging="255"/>
        <w:contextualSpacing/>
        <w:jc w:val="both"/>
        <w:rPr>
          <w:rFonts w:cs="Times New Roman"/>
          <w:szCs w:val="24"/>
          <w:lang w:val="pl-PL"/>
        </w:rPr>
      </w:pPr>
      <w:bookmarkStart w:id="0" w:name="_GoBack"/>
      <w:bookmarkEnd w:id="0"/>
      <w:r w:rsidRPr="0052694E">
        <w:rPr>
          <w:rFonts w:cs="Times New Roman"/>
          <w:szCs w:val="24"/>
          <w:lang w:val="pl-PL"/>
        </w:rPr>
        <w:t>wznowienie postępowania zakończonego wskazaną wyżej decyzją ZUS;</w:t>
      </w:r>
    </w:p>
    <w:p w:rsidR="0052694E" w:rsidRPr="0052694E" w:rsidRDefault="0052694E" w:rsidP="0052694E">
      <w:pPr>
        <w:keepLines/>
        <w:numPr>
          <w:ilvl w:val="0"/>
          <w:numId w:val="5"/>
        </w:numPr>
        <w:spacing w:after="100"/>
        <w:ind w:left="397" w:hanging="255"/>
        <w:contextualSpacing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ponowne ustalenie wysokości mojej emerytury z pominięciem mechanizmu pomniejszenia podstawy jej obliczenia o kwoty pobranych wcześniej emerytur, przewidzianego w art. 25 ust. 1b ustawy o emeryturach i rentach z FUS;</w:t>
      </w:r>
    </w:p>
    <w:p w:rsidR="0052694E" w:rsidRPr="0052694E" w:rsidRDefault="0052694E" w:rsidP="0052694E">
      <w:pPr>
        <w:keepLines/>
        <w:numPr>
          <w:ilvl w:val="0"/>
          <w:numId w:val="5"/>
        </w:numPr>
        <w:spacing w:after="100"/>
        <w:ind w:left="397" w:hanging="255"/>
        <w:contextualSpacing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wydanie nowej decyzji i wypłatę należnego wyrównania wraz z ustawowymi odsetkami – w zakresie dopuszczalnym przez obowiązujące przepisy;</w:t>
      </w:r>
    </w:p>
    <w:p w:rsidR="0052694E" w:rsidRPr="0052694E" w:rsidRDefault="0052694E" w:rsidP="0052694E">
      <w:pPr>
        <w:keepLines/>
        <w:numPr>
          <w:ilvl w:val="0"/>
          <w:numId w:val="5"/>
        </w:numPr>
        <w:spacing w:after="100"/>
        <w:ind w:left="397" w:hanging="255"/>
        <w:contextualSpacing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przeprowadzenie wyliczenia porównawczego i przyjęcie wariantu korzystniejszego dla ubezpieczonej;</w:t>
      </w:r>
    </w:p>
    <w:p w:rsidR="0052694E" w:rsidRPr="0052694E" w:rsidRDefault="0052694E" w:rsidP="0052694E">
      <w:pPr>
        <w:keepLines/>
        <w:numPr>
          <w:ilvl w:val="0"/>
          <w:numId w:val="5"/>
        </w:numPr>
        <w:spacing w:after="100"/>
        <w:ind w:left="397" w:hanging="255"/>
        <w:contextualSpacing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ewentualnie – w razie uznania, że brak jest podstaw do formalnego wznowienia postępowania – potraktowanie niniejszego pisma jako wniosku o ponowne ustalenie wysokości świadczenia na podstawie art. 114 ustawy o emeryturach i rentach z FUS.</w:t>
      </w:r>
    </w:p>
    <w:p w:rsidR="0052694E" w:rsidRPr="0052694E" w:rsidRDefault="0052694E" w:rsidP="0052694E">
      <w:pPr>
        <w:keepLines/>
        <w:spacing w:after="100"/>
        <w:ind w:left="397"/>
        <w:contextualSpacing/>
        <w:jc w:val="both"/>
        <w:rPr>
          <w:rFonts w:cs="Times New Roman"/>
          <w:szCs w:val="24"/>
          <w:lang w:val="pl-PL"/>
        </w:rPr>
      </w:pPr>
    </w:p>
    <w:p w:rsidR="0052694E" w:rsidRPr="0052694E" w:rsidRDefault="0052694E" w:rsidP="0052694E">
      <w:pPr>
        <w:keepNext/>
        <w:keepLines/>
        <w:spacing w:before="240" w:after="100"/>
        <w:jc w:val="both"/>
        <w:outlineLvl w:val="0"/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</w:pPr>
      <w:r w:rsidRPr="0052694E"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  <w:t xml:space="preserve">                                                  UZASADNIENIE</w:t>
      </w:r>
    </w:p>
    <w:p w:rsidR="0052694E" w:rsidRPr="0052694E" w:rsidRDefault="0052694E" w:rsidP="0052694E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ZUS ustalił wysokość mojej emerytury powszechnej z zastosowaniem art. 25 ust. 1b ustawy o emeryturach i rentach z FUS, pomniejszając podstawę jej obliczenia o sumę wcześniej pobranych emerytur. W konsekwencji świadczenie zostało obliczone od zaniżonej podstawy.</w:t>
      </w:r>
    </w:p>
    <w:p w:rsidR="0052694E" w:rsidRPr="0052694E" w:rsidRDefault="0052694E" w:rsidP="0052694E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lastRenderedPageBreak/>
        <w:t>Przed 6 czerwca 2012 r. złożyłam wniosek o świadczenie wymienione w art. 25 ust. 1b powołanej ustawy, a prawo do wcześniejszej emerytury realizowałam w stanie prawnym, który nie przewidywał późniejszego pomniejszenia podstawy emerytury powszechnej o wypłacone świadczenia. Nie mogłam zatem przewidzieć, że skorzystanie z wcześniejszej emerytury spowoduje w przyszłości obniżenie emerytury należnej po osiągnięciu powszechnego wieku emerytalnego.</w:t>
      </w:r>
    </w:p>
    <w:p w:rsidR="0052694E" w:rsidRPr="0052694E" w:rsidRDefault="0052694E" w:rsidP="0052694E">
      <w:pPr>
        <w:keepLines/>
        <w:spacing w:after="120"/>
        <w:ind w:firstLine="720"/>
        <w:jc w:val="both"/>
        <w:rPr>
          <w:rFonts w:cs="Times New Roman"/>
          <w:sz w:val="28"/>
          <w:szCs w:val="28"/>
          <w:lang w:val="pl-PL"/>
        </w:rPr>
      </w:pPr>
    </w:p>
    <w:p w:rsidR="0052694E" w:rsidRPr="0052694E" w:rsidRDefault="0052694E" w:rsidP="0052694E">
      <w:pPr>
        <w:keepNext/>
        <w:keepLines/>
        <w:spacing w:before="180" w:after="80"/>
        <w:jc w:val="both"/>
        <w:outlineLvl w:val="1"/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</w:pPr>
      <w:r w:rsidRPr="0052694E"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  <w:t>1. Znaczenie wyroku Trybunału Konstytucyjnego z 4 czerwca 2024 r., SK 140/20</w:t>
      </w:r>
    </w:p>
    <w:p w:rsidR="0052694E" w:rsidRPr="0052694E" w:rsidRDefault="0052694E" w:rsidP="0052694E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W wyroku z 4 czerwca 2024 r., sygn. SK 140/20, Trybunał Konstytucyjny uznał art. 25 ust. 1b ustawy o emeryturach i rentach z FUS za niezgodny z art. 67 ust. 1 w związku z art. 2 Konstytucji w zakresie dotyczącym osób, które przed 6 czerwca 2012 r. złożyły wniosek o świadczenie wymienione w tym przepisie. Zakres rozstrzygnięcia obejmuje mechanizm pomniejszenia emerytury niezależnie od rocznika i szczególnej podstawy wcześniejszego świadczenia, jeżeli spełniona jest wskazana przesłanka czasowa.</w:t>
      </w:r>
    </w:p>
    <w:p w:rsidR="0052694E" w:rsidRPr="0052694E" w:rsidRDefault="0052694E" w:rsidP="0052694E">
      <w:pPr>
        <w:keepLines/>
        <w:spacing w:after="120"/>
        <w:ind w:firstLine="454"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Moja sytuacja odpowiada grupie osób opisanej w tym rozstrzygnięciu: decyzję o skorzystaniu z wcześniejszej emerytury podjęłam przed ogłoszeniem ustawy nowelizującej z 11 maja 2012 r., a następnie przy obliczaniu emerytury powszechnej zastosowano wobec mnie niekorzystny mechanizm odliczenia.</w:t>
      </w:r>
    </w:p>
    <w:p w:rsidR="0052694E" w:rsidRPr="0052694E" w:rsidRDefault="0052694E" w:rsidP="0052694E">
      <w:pPr>
        <w:keepNext/>
        <w:keepLines/>
        <w:spacing w:before="180" w:after="80"/>
        <w:jc w:val="both"/>
        <w:outlineLvl w:val="1"/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</w:pPr>
      <w:r w:rsidRPr="0052694E"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  <w:t>2. Ochrona zaufania obywatela do państwa i stanowionego prawa</w:t>
      </w:r>
    </w:p>
    <w:p w:rsidR="0052694E" w:rsidRPr="0052694E" w:rsidRDefault="0052694E" w:rsidP="0052694E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Z art. 2 Konstytucji wynika zasada ochrony zaufania obywatela do państwa i stanowionego przez nie prawa. Prawo nie powinno stawać się pułapką dla osoby, która podejmuje decyzję w oparciu o obowiązujące przepisy. W chwili przejścia na wcześniejszą emeryturę nie istniała regulacja przewidująca późniejsze odliczenie pobranych świadczeń od podstawy emerytury powszechnej. Zastosowanie tej regulacji do wcześniej podjętej i nieodwracalnej decyzji emerytalnej zmieniło zatem „reguły gry” na niekorzyść ubezpieczonej.</w:t>
      </w:r>
    </w:p>
    <w:p w:rsidR="0052694E" w:rsidRPr="0052694E" w:rsidRDefault="0052694E" w:rsidP="0052694E">
      <w:pPr>
        <w:keepLines/>
        <w:spacing w:after="120"/>
        <w:ind w:firstLine="454"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Sześciomiesięczne vacatio legis ustawy nowelizującej nie zapewniło mi realnej możliwości ochrony interesów. Po uprawomocnieniu się decyzji o przyznaniu wcześniejszej emerytury nie mogłam skutecznie cofnąć wniosku, a ujemne następstwa nowej regulacji ujawniły się dopiero przy ustalaniu emerytury powszechnej.</w:t>
      </w:r>
    </w:p>
    <w:p w:rsidR="0052694E" w:rsidRPr="0052694E" w:rsidRDefault="0052694E" w:rsidP="0052694E">
      <w:pPr>
        <w:keepNext/>
        <w:keepLines/>
        <w:spacing w:before="180" w:after="80"/>
        <w:jc w:val="both"/>
        <w:outlineLvl w:val="1"/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</w:pPr>
      <w:r w:rsidRPr="0052694E"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  <w:t>3. Bezpośrednie stosowanie Konstytucji i znaczenie ogłoszonego orzeczenia</w:t>
      </w:r>
    </w:p>
    <w:p w:rsidR="0052694E" w:rsidRPr="0052694E" w:rsidRDefault="0052694E" w:rsidP="0052694E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Zgodnie z art. 8 ust. 2 Konstytucji jej przepisy stosuje się bezpośrednio, a art. 190 ust. 1 stanowi, że orzeczenia Trybunału Konstytucyjnego mają moc powszechnie obowiązującą i są ostateczne. Brak publikacji wyroku SK 140/20 w Dzienniku Ustaw nie powinien prowadzić do dalszego stosowania wobec ubezpieczonej rozwiązania, którego niezgodność z Konstytucją została publicznie stwierdzona.</w:t>
      </w:r>
    </w:p>
    <w:p w:rsidR="0052694E" w:rsidRPr="0052694E" w:rsidRDefault="0052694E" w:rsidP="0052694E">
      <w:pPr>
        <w:keepLines/>
        <w:spacing w:after="120"/>
        <w:ind w:firstLine="454"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lastRenderedPageBreak/>
        <w:t>W orzecznictwie Sądu Najwyższego wskazuje się, że gdy system ochrony prawnej pozbawiałby jednostkę skutecznej ochrony jej praw konstytucyjnych, sąd może – po stwierdzeniu nieusuwalnej sprzeczności – pominąć przepis ustawy sprzeczny z Konstytucją. Takie stanowisko przedstawiono m.in. w wyroku Sądu Najwyższego z 8 lutego 2023 r., II PSKP 25/22. Również postanowienie Sądu Najwyższego z 15 stycznia 2003 r., IV CKN 1639/00, wskazuje na deklaratoryjny charakter orzeczenia stwierdzającego niekonstytucyjność przepisu.</w:t>
      </w:r>
    </w:p>
    <w:p w:rsidR="0052694E" w:rsidRPr="0052694E" w:rsidRDefault="0052694E" w:rsidP="0052694E">
      <w:pPr>
        <w:keepLines/>
        <w:spacing w:after="120"/>
        <w:ind w:firstLine="454"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Argumentacja ta przemawia za prokonstytucyjną wykładnią przepisów oraz za ponownym ustaleniem świadczenia bez zastosowania mechanizmu, który naruszył zasadę zaufania do państwa i prawo do zabezpieczenia społecznego.</w:t>
      </w:r>
    </w:p>
    <w:p w:rsidR="0052694E" w:rsidRPr="0052694E" w:rsidRDefault="0052694E" w:rsidP="0052694E">
      <w:pPr>
        <w:keepNext/>
        <w:keepLines/>
        <w:spacing w:before="180" w:after="80"/>
        <w:jc w:val="both"/>
        <w:outlineLvl w:val="1"/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</w:pPr>
      <w:r w:rsidRPr="0052694E">
        <w:rPr>
          <w:rFonts w:eastAsiaTheme="majorEastAsia" w:cs="Times New Roman"/>
          <w:b/>
          <w:bCs/>
          <w:color w:val="1F4D78"/>
          <w:sz w:val="28"/>
          <w:szCs w:val="28"/>
          <w:lang w:val="pl-PL"/>
        </w:rPr>
        <w:t>4. Podstawa ponownego ustalenia świadczenia</w:t>
      </w:r>
    </w:p>
    <w:p w:rsidR="0052694E" w:rsidRPr="0052694E" w:rsidRDefault="0052694E" w:rsidP="0052694E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Niezależnie od oceny formalnych skutków wyroku SK 140/20, treść tego rozstrzygnięcia i wynikająca z niego ocena konstytucyjna stanowią istotną okoliczność wymagającą ponownego zbadania prawidłowości ustalenia wysokości mojego świadczenia. Wnoszę zatem również o zastosowanie art. 114 ustawy o emeryturach i rentach z FUS oraz ponowne ustalenie wysokości emerytury na podstawie materiału znajdującego się w aktach ZUS i niniejszego wniosku.</w:t>
      </w:r>
    </w:p>
    <w:p w:rsidR="0052694E" w:rsidRPr="0052694E" w:rsidRDefault="0052694E" w:rsidP="0052694E">
      <w:pPr>
        <w:keepLines/>
        <w:spacing w:after="120"/>
        <w:ind w:firstLine="720"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Odmowa merytorycznego zbadania sprawy prowadziłaby do utrzymania skutków regulacji uznanej za sprzeczną z art. 67 ust. 1 w związku z art. 2 Konstytucji. Z tego względu zasadne jest co najmniej przeprowadzenie ponownego wyliczenia i wydanie decyzji umożliwiającej jej kontrolę sądową.</w:t>
      </w:r>
    </w:p>
    <w:p w:rsidR="0052694E" w:rsidRPr="0052694E" w:rsidRDefault="0052694E" w:rsidP="0052694E">
      <w:pPr>
        <w:keepLines/>
        <w:spacing w:after="280"/>
        <w:ind w:firstLine="454"/>
        <w:jc w:val="both"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Mając powyższe na uwadze, wnoszę jak na wstępie.</w:t>
      </w:r>
    </w:p>
    <w:p w:rsidR="0052694E" w:rsidRPr="0052694E" w:rsidRDefault="0052694E" w:rsidP="0052694E">
      <w:pPr>
        <w:keepLines/>
        <w:spacing w:after="280"/>
        <w:ind w:firstLine="454"/>
        <w:jc w:val="both"/>
        <w:rPr>
          <w:rFonts w:cs="Times New Roman"/>
          <w:szCs w:val="24"/>
          <w:lang w:val="pl-PL"/>
        </w:rPr>
      </w:pPr>
    </w:p>
    <w:p w:rsidR="0052694E" w:rsidRPr="0052694E" w:rsidRDefault="0052694E" w:rsidP="0052694E">
      <w:pPr>
        <w:keepLines/>
        <w:spacing w:after="20"/>
        <w:ind w:left="5040"/>
        <w:jc w:val="both"/>
        <w:rPr>
          <w:rFonts w:cs="Times New Roman"/>
          <w:szCs w:val="24"/>
        </w:rPr>
      </w:pPr>
      <w:r w:rsidRPr="0052694E">
        <w:rPr>
          <w:rFonts w:cs="Times New Roman"/>
          <w:szCs w:val="24"/>
        </w:rPr>
        <w:t>______________________________</w:t>
      </w:r>
    </w:p>
    <w:p w:rsidR="0052694E" w:rsidRPr="0052694E" w:rsidRDefault="0052694E" w:rsidP="0052694E">
      <w:pPr>
        <w:keepLines/>
        <w:spacing w:after="280"/>
        <w:jc w:val="center"/>
        <w:rPr>
          <w:rFonts w:cs="Times New Roman"/>
          <w:szCs w:val="24"/>
        </w:rPr>
      </w:pPr>
      <w:r w:rsidRPr="0052694E">
        <w:rPr>
          <w:rFonts w:cs="Times New Roman"/>
          <w:szCs w:val="24"/>
        </w:rPr>
        <w:t xml:space="preserve">                                                                           [imię </w:t>
      </w:r>
      <w:proofErr w:type="spellStart"/>
      <w:r w:rsidRPr="0052694E">
        <w:rPr>
          <w:rFonts w:cs="Times New Roman"/>
          <w:szCs w:val="24"/>
        </w:rPr>
        <w:t>i</w:t>
      </w:r>
      <w:proofErr w:type="spellEnd"/>
      <w:r w:rsidRPr="0052694E">
        <w:rPr>
          <w:rFonts w:cs="Times New Roman"/>
          <w:szCs w:val="24"/>
        </w:rPr>
        <w:t xml:space="preserve"> </w:t>
      </w:r>
      <w:proofErr w:type="spellStart"/>
      <w:r w:rsidRPr="0052694E">
        <w:rPr>
          <w:rFonts w:cs="Times New Roman"/>
          <w:szCs w:val="24"/>
        </w:rPr>
        <w:t>nazwisko</w:t>
      </w:r>
      <w:proofErr w:type="spellEnd"/>
      <w:r w:rsidRPr="0052694E">
        <w:rPr>
          <w:rFonts w:cs="Times New Roman"/>
          <w:szCs w:val="24"/>
        </w:rPr>
        <w:t>]</w:t>
      </w:r>
    </w:p>
    <w:p w:rsidR="0052694E" w:rsidRPr="0052694E" w:rsidRDefault="0052694E" w:rsidP="0052694E">
      <w:pPr>
        <w:keepNext/>
        <w:keepLines/>
        <w:spacing w:before="180" w:after="80"/>
        <w:outlineLvl w:val="1"/>
        <w:rPr>
          <w:rFonts w:eastAsiaTheme="majorEastAsia" w:cs="Times New Roman"/>
          <w:b/>
          <w:bCs/>
          <w:color w:val="1F4D78"/>
          <w:szCs w:val="24"/>
        </w:rPr>
      </w:pPr>
      <w:proofErr w:type="spellStart"/>
      <w:r w:rsidRPr="0052694E">
        <w:rPr>
          <w:rFonts w:eastAsiaTheme="majorEastAsia" w:cs="Times New Roman"/>
          <w:b/>
          <w:bCs/>
          <w:color w:val="1F4D78"/>
          <w:szCs w:val="24"/>
        </w:rPr>
        <w:t>Załączniki</w:t>
      </w:r>
      <w:proofErr w:type="spellEnd"/>
    </w:p>
    <w:p w:rsidR="0052694E" w:rsidRPr="0052694E" w:rsidRDefault="0052694E" w:rsidP="0052694E">
      <w:pPr>
        <w:keepLines/>
        <w:numPr>
          <w:ilvl w:val="0"/>
          <w:numId w:val="1"/>
        </w:numPr>
        <w:spacing w:after="80"/>
        <w:ind w:left="397" w:hanging="198"/>
        <w:contextualSpacing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kopia decyzji ZUS z dnia [data], znak: [numer];</w:t>
      </w:r>
    </w:p>
    <w:p w:rsidR="0052694E" w:rsidRPr="0052694E" w:rsidRDefault="0052694E" w:rsidP="0052694E">
      <w:pPr>
        <w:keepLines/>
        <w:numPr>
          <w:ilvl w:val="0"/>
          <w:numId w:val="1"/>
        </w:numPr>
        <w:spacing w:after="80"/>
        <w:ind w:left="397" w:hanging="198"/>
        <w:contextualSpacing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dokument potwierdzający datę złożenia wniosku o wcześniejszą emeryturę lub kopia odpowiedniej decyzji ZUS;</w:t>
      </w:r>
    </w:p>
    <w:p w:rsidR="0052694E" w:rsidRPr="0052694E" w:rsidRDefault="0052694E" w:rsidP="0052694E">
      <w:pPr>
        <w:keepLines/>
        <w:numPr>
          <w:ilvl w:val="0"/>
          <w:numId w:val="1"/>
        </w:numPr>
        <w:spacing w:after="80"/>
        <w:ind w:left="397" w:hanging="198"/>
        <w:contextualSpacing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kopia decyzji ustalającej emeryturę powszechną i sposób jej obliczenia;</w:t>
      </w:r>
    </w:p>
    <w:p w:rsidR="0052694E" w:rsidRPr="0052694E" w:rsidRDefault="0052694E" w:rsidP="0052694E">
      <w:pPr>
        <w:keepLines/>
        <w:numPr>
          <w:ilvl w:val="0"/>
          <w:numId w:val="1"/>
        </w:numPr>
        <w:spacing w:after="80"/>
        <w:ind w:left="397" w:hanging="198"/>
        <w:contextualSpacing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wydruk wyroku Trybunału Konstytucyjnego z 4 czerwca 2024 r., SK 140/20;</w:t>
      </w:r>
    </w:p>
    <w:p w:rsidR="0052694E" w:rsidRPr="0052694E" w:rsidRDefault="0052694E" w:rsidP="0052694E">
      <w:pPr>
        <w:keepLines/>
        <w:numPr>
          <w:ilvl w:val="0"/>
          <w:numId w:val="1"/>
        </w:numPr>
        <w:spacing w:after="80"/>
        <w:ind w:left="397" w:hanging="198"/>
        <w:contextualSpacing/>
        <w:rPr>
          <w:rFonts w:cs="Times New Roman"/>
          <w:szCs w:val="24"/>
          <w:lang w:val="pl-PL"/>
        </w:rPr>
      </w:pPr>
      <w:r w:rsidRPr="0052694E">
        <w:rPr>
          <w:rFonts w:cs="Times New Roman"/>
          <w:szCs w:val="24"/>
          <w:lang w:val="pl-PL"/>
        </w:rPr>
        <w:t>inne dokumenty potwierdzające przebieg postępowania – jeżeli dotyczy.</w:t>
      </w:r>
    </w:p>
    <w:p w:rsidR="0052694E" w:rsidRPr="0052694E" w:rsidRDefault="0052694E" w:rsidP="0052694E">
      <w:pPr>
        <w:keepNext/>
        <w:keepLines/>
        <w:spacing w:before="180" w:after="80"/>
        <w:outlineLvl w:val="1"/>
        <w:rPr>
          <w:rFonts w:eastAsiaTheme="majorEastAsia" w:cs="Times New Roman"/>
          <w:b/>
          <w:bCs/>
          <w:color w:val="1F4D78"/>
          <w:szCs w:val="24"/>
          <w:lang w:val="pl-PL"/>
        </w:rPr>
      </w:pPr>
      <w:r w:rsidRPr="0052694E">
        <w:rPr>
          <w:rFonts w:eastAsiaTheme="majorEastAsia" w:cs="Times New Roman"/>
          <w:b/>
          <w:bCs/>
          <w:color w:val="1F4D78"/>
          <w:szCs w:val="24"/>
          <w:lang w:val="pl-PL"/>
        </w:rPr>
        <w:t>Informacja przed złożeniem</w:t>
      </w:r>
    </w:p>
    <w:p w:rsidR="007551F0" w:rsidRPr="00316EA3" w:rsidRDefault="0052694E" w:rsidP="00316EA3">
      <w:pPr>
        <w:keepLines/>
        <w:spacing w:after="80"/>
        <w:rPr>
          <w:rFonts w:cs="Times New Roman"/>
          <w:color w:val="FF0000"/>
          <w:szCs w:val="24"/>
          <w:lang w:val="pl-PL"/>
        </w:rPr>
      </w:pPr>
      <w:r w:rsidRPr="0052694E">
        <w:rPr>
          <w:rFonts w:cs="Times New Roman"/>
          <w:i/>
          <w:color w:val="FF0000"/>
          <w:szCs w:val="24"/>
          <w:lang w:val="pl-PL"/>
        </w:rPr>
        <w:t>Należy uzupełnić datę i numer decyzji, PESEL, numer świadczenia oraz dane adresowe. Jeżeli od decyzji ZUS toczyło się już postępowanie sądowe albo zapadł prawomocny wyrok, właściwy tryb i organ mogą być inne; w takim przypadku pismo warto zweryfikować przed złożeniem.</w:t>
      </w:r>
    </w:p>
    <w:sectPr w:rsidR="007551F0" w:rsidRPr="00316EA3" w:rsidSect="00316EA3">
      <w:headerReference w:type="default" r:id="rId8"/>
      <w:footerReference w:type="default" r:id="rId9"/>
      <w:pgSz w:w="11906" w:h="16838"/>
      <w:pgMar w:top="2438" w:right="1134" w:bottom="1559" w:left="1134" w:header="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7F9" w:rsidRDefault="003E64C0">
      <w:pPr>
        <w:spacing w:after="0" w:line="240" w:lineRule="auto"/>
      </w:pPr>
      <w:r>
        <w:separator/>
      </w:r>
    </w:p>
  </w:endnote>
  <w:endnote w:type="continuationSeparator" w:id="0">
    <w:p w:rsidR="001667F9" w:rsidRDefault="003E6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1F0" w:rsidRDefault="007551F0">
    <w:pPr>
      <w:pStyle w:val="Stopka"/>
      <w:pBdr>
        <w:bottom w:val="single" w:sz="14" w:space="2" w:color="D9A21B"/>
      </w:pBdr>
      <w:spacing w:after="40"/>
      <w:jc w:val="center"/>
    </w:pPr>
  </w:p>
  <w:p w:rsidR="007551F0" w:rsidRPr="00A52AE6" w:rsidRDefault="003E64C0">
    <w:pPr>
      <w:spacing w:after="0"/>
      <w:jc w:val="center"/>
      <w:rPr>
        <w:lang w:val="pl-PL"/>
      </w:rPr>
    </w:pPr>
    <w:r w:rsidRPr="00A52AE6">
      <w:rPr>
        <w:color w:val="174D99"/>
        <w:sz w:val="21"/>
        <w:lang w:val="pl-PL"/>
      </w:rPr>
      <w:t>Stowarzyszenie</w:t>
    </w:r>
  </w:p>
  <w:p w:rsidR="007551F0" w:rsidRPr="00A52AE6" w:rsidRDefault="003E64C0">
    <w:pPr>
      <w:spacing w:after="0"/>
      <w:jc w:val="center"/>
      <w:rPr>
        <w:lang w:val="pl-PL"/>
      </w:rPr>
    </w:pPr>
    <w:r w:rsidRPr="00A52AE6">
      <w:rPr>
        <w:b/>
        <w:color w:val="174D99"/>
        <w:sz w:val="23"/>
        <w:lang w:val="pl-PL"/>
      </w:rPr>
      <w:t>VERITAS ET IUS. W SŁUŻBIE NARODOWI</w:t>
    </w:r>
  </w:p>
  <w:p w:rsidR="007551F0" w:rsidRPr="00A52AE6" w:rsidRDefault="003E64C0">
    <w:pPr>
      <w:spacing w:after="0"/>
      <w:jc w:val="center"/>
      <w:rPr>
        <w:lang w:val="pl-PL"/>
      </w:rPr>
    </w:pPr>
    <w:r w:rsidRPr="00A52AE6">
      <w:rPr>
        <w:color w:val="174D99"/>
        <w:sz w:val="21"/>
        <w:lang w:val="pl-PL"/>
      </w:rPr>
      <w:t>z siedzibą w Warszawie</w:t>
    </w:r>
  </w:p>
  <w:p w:rsidR="007551F0" w:rsidRPr="00A52AE6" w:rsidRDefault="003E64C0">
    <w:pPr>
      <w:spacing w:after="0"/>
      <w:jc w:val="center"/>
      <w:rPr>
        <w:lang w:val="pl-PL"/>
      </w:rPr>
    </w:pPr>
    <w:r w:rsidRPr="00A52AE6">
      <w:rPr>
        <w:color w:val="174D99"/>
        <w:sz w:val="21"/>
        <w:lang w:val="pl-PL"/>
      </w:rPr>
      <w:t>e-mail: stowarzyszenie@veritasetius.pl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7F9" w:rsidRDefault="003E64C0">
      <w:pPr>
        <w:spacing w:after="0" w:line="240" w:lineRule="auto"/>
      </w:pPr>
      <w:r>
        <w:separator/>
      </w:r>
    </w:p>
  </w:footnote>
  <w:footnote w:type="continuationSeparator" w:id="0">
    <w:p w:rsidR="001667F9" w:rsidRDefault="003E6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819"/>
      <w:gridCol w:w="4819"/>
    </w:tblGrid>
    <w:tr w:rsidR="007551F0" w:rsidRPr="0052694E">
      <w:trPr>
        <w:jc w:val="center"/>
      </w:trPr>
      <w:tc>
        <w:tcPr>
          <w:tcW w:w="481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7551F0" w:rsidRDefault="003E64C0" w:rsidP="00316EA3">
          <w:pPr>
            <w:spacing w:after="0" w:line="240" w:lineRule="auto"/>
            <w:jc w:val="center"/>
          </w:pPr>
          <w:r>
            <w:rPr>
              <w:noProof/>
              <w:lang w:val="pl-PL" w:eastAsia="pl-PL"/>
            </w:rPr>
            <w:drawing>
              <wp:inline distT="0" distB="0" distL="0" distR="0">
                <wp:extent cx="1296000" cy="1131508"/>
                <wp:effectExtent l="0" t="0" r="0" b="0"/>
                <wp:docPr id="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veritas_eagle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11315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7551F0" w:rsidRPr="00A52AE6" w:rsidRDefault="003E64C0">
          <w:pPr>
            <w:pBdr>
              <w:bottom w:val="single" w:sz="14" w:space="2" w:color="D9A21B"/>
            </w:pBdr>
            <w:spacing w:after="0"/>
            <w:jc w:val="center"/>
            <w:rPr>
              <w:lang w:val="pl-PL"/>
            </w:rPr>
          </w:pPr>
          <w:r w:rsidRPr="00A52AE6">
            <w:rPr>
              <w:color w:val="174D99"/>
              <w:sz w:val="56"/>
              <w:lang w:val="pl-PL"/>
            </w:rPr>
            <w:t>VERITAS ET IUS</w:t>
          </w:r>
        </w:p>
        <w:p w:rsidR="007551F0" w:rsidRPr="00A52AE6" w:rsidRDefault="003E64C0">
          <w:pPr>
            <w:spacing w:before="40" w:after="0"/>
            <w:jc w:val="center"/>
            <w:rPr>
              <w:lang w:val="pl-PL"/>
            </w:rPr>
          </w:pPr>
          <w:r w:rsidRPr="00A52AE6">
            <w:rPr>
              <w:color w:val="174D99"/>
              <w:sz w:val="30"/>
              <w:lang w:val="pl-PL"/>
            </w:rPr>
            <w:t>W SŁUŻBIE NARODOWI</w:t>
          </w:r>
        </w:p>
      </w:tc>
    </w:tr>
  </w:tbl>
  <w:p w:rsidR="007551F0" w:rsidRPr="00A52AE6" w:rsidRDefault="007551F0" w:rsidP="00316EA3">
    <w:pPr>
      <w:pBdr>
        <w:bottom w:val="single" w:sz="18" w:space="0" w:color="174D99"/>
      </w:pBdr>
      <w:spacing w:before="60" w:after="0"/>
      <w:rPr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93055E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67F9"/>
    <w:rsid w:val="0029639D"/>
    <w:rsid w:val="00316EA3"/>
    <w:rsid w:val="00326F90"/>
    <w:rsid w:val="003E64C0"/>
    <w:rsid w:val="0052694E"/>
    <w:rsid w:val="007551F0"/>
    <w:rsid w:val="00A52AE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B8E30726-E423-474B-9933-540D772D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67FDE9-8C46-44C7-898F-4DCB392B8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965</Words>
  <Characters>5790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Edytowalny papier firmowy VERITAS ET IUS</vt:lpstr>
      <vt:lpstr/>
    </vt:vector>
  </TitlesOfParts>
  <Manager/>
  <Company/>
  <LinksUpToDate>false</LinksUpToDate>
  <CharactersWithSpaces>6742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Edytowalny papier firmowy VERITAS ET IUS</dc:title>
  <dc:subject>Edytowalny nagłówek i stopka</dc:subject>
  <dc:creator>python-docx</dc:creator>
  <cp:keywords/>
  <dc:description>generated by python-docx</dc:description>
  <cp:lastModifiedBy>Stachniak-Rogalska Agnieszka</cp:lastModifiedBy>
  <cp:revision>2</cp:revision>
  <dcterms:created xsi:type="dcterms:W3CDTF">2026-07-23T19:19:00Z</dcterms:created>
  <dcterms:modified xsi:type="dcterms:W3CDTF">2026-07-23T19:19:00Z</dcterms:modified>
  <cp:category/>
</cp:coreProperties>
</file>